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c278ffdaea4e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HAWK SEAFOOD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HAWK SEAFOOD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1719e7ae5446d9"/>
      <w:footerReference xmlns:r="http://schemas.openxmlformats.org/officeDocument/2006/relationships" w:type="default" r:id="R1808b565f31d4c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HAWK SEAFOOD CAPITAL AS   ·   Org.nr 925 488 798   ·   7 etasje, Bygdøy allé 23   ·   0262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HAWK SEAFOOD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1719e7ae5446d9" /><Relationship Type="http://schemas.openxmlformats.org/officeDocument/2006/relationships/footer" Target="/word/footer1.xml" Id="R1808b565f31d4c93" /></Relationships>
</file>